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0CDB" w:rsidRDefault="00410CDB">
      <w:pPr>
        <w:widowControl w:val="0"/>
        <w:pBdr>
          <w:top w:val="nil"/>
          <w:left w:val="nil"/>
          <w:bottom w:val="nil"/>
          <w:right w:val="nil"/>
          <w:between w:val="nil"/>
        </w:pBdr>
        <w:spacing w:after="0" w:line="276" w:lineRule="auto"/>
      </w:pPr>
      <w:bookmarkStart w:id="0" w:name="_GoBack"/>
      <w:bookmarkEnd w:id="0"/>
    </w:p>
    <w:tbl>
      <w:tblPr>
        <w:tblStyle w:val="a"/>
        <w:tblW w:w="10206"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36"/>
        <w:gridCol w:w="8070"/>
      </w:tblGrid>
      <w:tr w:rsidR="00410CDB">
        <w:trPr>
          <w:trHeight w:val="200"/>
        </w:trPr>
        <w:tc>
          <w:tcPr>
            <w:tcW w:w="10206" w:type="dxa"/>
            <w:gridSpan w:val="2"/>
            <w:shd w:val="clear" w:color="auto" w:fill="DEEBF6"/>
          </w:tcPr>
          <w:p w:rsidR="00410CDB" w:rsidRDefault="00997B22">
            <w:pPr>
              <w:spacing w:after="120"/>
              <w:rPr>
                <w:b/>
              </w:rPr>
            </w:pPr>
            <w:bookmarkStart w:id="1" w:name="_gjdgxs" w:colFirst="0" w:colLast="0"/>
            <w:bookmarkEnd w:id="1"/>
            <w:r>
              <w:rPr>
                <w:b/>
              </w:rPr>
              <w:t xml:space="preserve">Цел на политиката (ЦП) 4 „По-социална Европа — реализиране на европейския стълб на социалните права“ </w:t>
            </w:r>
          </w:p>
        </w:tc>
      </w:tr>
      <w:tr w:rsidR="00410CDB">
        <w:trPr>
          <w:trHeight w:val="200"/>
        </w:trPr>
        <w:tc>
          <w:tcPr>
            <w:tcW w:w="10206" w:type="dxa"/>
            <w:gridSpan w:val="2"/>
            <w:shd w:val="clear" w:color="auto" w:fill="DEEBF6"/>
          </w:tcPr>
          <w:p w:rsidR="00410CDB" w:rsidRDefault="00997B22">
            <w:pPr>
              <w:spacing w:after="120"/>
              <w:rPr>
                <w:b/>
              </w:rPr>
            </w:pPr>
            <w:r>
              <w:rPr>
                <w:b/>
              </w:rPr>
              <w:t>Специфична цел v. „Насърчаване на равния достъп до и завършването на качествено и приобщаващо образование и обучение, по-специално за групите в неравностойно положение, от образованието и грижите в ранна детска възраст през общото и професионалното образов</w:t>
            </w:r>
            <w:r>
              <w:rPr>
                <w:b/>
              </w:rPr>
              <w:t>ание и обучение до висшето образование, както и образованието и ученето в зряла възраст, включително улесняване на мобилността с учебна цел за всички“</w:t>
            </w:r>
          </w:p>
        </w:tc>
      </w:tr>
      <w:tr w:rsidR="00410CDB">
        <w:trPr>
          <w:trHeight w:val="660"/>
        </w:trPr>
        <w:tc>
          <w:tcPr>
            <w:tcW w:w="10206" w:type="dxa"/>
            <w:gridSpan w:val="2"/>
            <w:shd w:val="clear" w:color="auto" w:fill="DEEBF6"/>
          </w:tcPr>
          <w:p w:rsidR="00410CDB" w:rsidRDefault="00997B22">
            <w:pPr>
              <w:spacing w:after="120"/>
              <w:rPr>
                <w:b/>
              </w:rPr>
            </w:pPr>
            <w:r>
              <w:rPr>
                <w:b/>
              </w:rPr>
              <w:t>Нужди (Анекс Г) 4.4. Подпомагане на професионалното развитие на учителите и обучаващите и насърчаване на</w:t>
            </w:r>
            <w:r>
              <w:rPr>
                <w:b/>
              </w:rPr>
              <w:t xml:space="preserve"> новаторските методи на преподаване и новаторското съдържание с цел оказване на най-добра подкрепа на учениците в неравностойно положение. </w:t>
            </w:r>
          </w:p>
        </w:tc>
      </w:tr>
      <w:tr w:rsidR="00410CDB">
        <w:trPr>
          <w:trHeight w:val="1540"/>
        </w:trPr>
        <w:tc>
          <w:tcPr>
            <w:tcW w:w="2136" w:type="dxa"/>
            <w:shd w:val="clear" w:color="auto" w:fill="EDEDED"/>
          </w:tcPr>
          <w:p w:rsidR="00410CDB" w:rsidRDefault="00997B22">
            <w:pPr>
              <w:spacing w:after="120"/>
              <w:rPr>
                <w:b/>
              </w:rPr>
            </w:pPr>
            <w:r>
              <w:rPr>
                <w:b/>
              </w:rPr>
              <w:t xml:space="preserve">1. Цели и резултати </w:t>
            </w:r>
          </w:p>
        </w:tc>
        <w:tc>
          <w:tcPr>
            <w:tcW w:w="8070" w:type="dxa"/>
            <w:shd w:val="clear" w:color="auto" w:fill="auto"/>
          </w:tcPr>
          <w:p w:rsidR="00410CDB" w:rsidRDefault="00997B22">
            <w:pPr>
              <w:spacing w:after="120"/>
              <w:rPr>
                <w:i/>
              </w:rPr>
            </w:pPr>
            <w:r>
              <w:rPr>
                <w:i/>
              </w:rPr>
              <w:t>Посочете конкретни цели, които имат принос към набелязаните нужди от инвестиции с висок приоритет.</w:t>
            </w:r>
          </w:p>
          <w:p w:rsidR="00410CDB" w:rsidRDefault="00997B22">
            <w:pPr>
              <w:numPr>
                <w:ilvl w:val="0"/>
                <w:numId w:val="6"/>
              </w:numPr>
              <w:spacing w:line="276" w:lineRule="auto"/>
            </w:pPr>
            <w:r>
              <w:t>Подобрение на образователните резултати на цели училища чрез структурирана програма за цялостна подкрепа на  училищни екипи;</w:t>
            </w:r>
          </w:p>
          <w:p w:rsidR="00410CDB" w:rsidRDefault="00997B22">
            <w:pPr>
              <w:numPr>
                <w:ilvl w:val="0"/>
                <w:numId w:val="6"/>
              </w:numPr>
            </w:pPr>
            <w:r>
              <w:t>Създаване на ефективни и устойчи</w:t>
            </w:r>
            <w:r>
              <w:t>ви структури за обмен на добри практики между педагогически специалисти, които водят до трайно повишаване на мотивацията на педагозите и взаимно учене в полза на учениците, на училищно, междуучилищно, регионално и национално ниво:</w:t>
            </w:r>
          </w:p>
          <w:p w:rsidR="00410CDB" w:rsidRDefault="00997B22">
            <w:pPr>
              <w:numPr>
                <w:ilvl w:val="1"/>
                <w:numId w:val="6"/>
              </w:numPr>
            </w:pPr>
            <w:r>
              <w:t>създаване на професионалн</w:t>
            </w:r>
            <w:r>
              <w:t>и учещи се общности в училищата, в които учителите и обучаващите работят заедно за цялостно адресиране на предизвикателствата пред учениците и повишаване на учебните резултати;</w:t>
            </w:r>
          </w:p>
          <w:p w:rsidR="00410CDB" w:rsidRDefault="00997B22">
            <w:pPr>
              <w:numPr>
                <w:ilvl w:val="1"/>
                <w:numId w:val="6"/>
              </w:numPr>
            </w:pPr>
            <w:r>
              <w:t>създаване на устойчиви структури за обмен на добри практики между педагогически</w:t>
            </w:r>
            <w:r>
              <w:t xml:space="preserve"> специалисти на междуучилищно, регионално и национално ниво, които водят до трайно повишаване на мотивацията и взаимно учене в полза на учениците; </w:t>
            </w:r>
          </w:p>
          <w:p w:rsidR="00410CDB" w:rsidRDefault="00997B22">
            <w:pPr>
              <w:numPr>
                <w:ilvl w:val="1"/>
                <w:numId w:val="6"/>
              </w:numPr>
            </w:pPr>
            <w:r>
              <w:t xml:space="preserve">създаване на онлайн платформа / платформи за споделяне от страна на учителите и обучаващите на новаторските </w:t>
            </w:r>
            <w:r>
              <w:t>методи на преподаване и новаторското съдържание с цел оказване на най-добра подкрепа на учениците в неравностойно положение.</w:t>
            </w:r>
          </w:p>
          <w:p w:rsidR="00410CDB" w:rsidRDefault="00997B22">
            <w:pPr>
              <w:numPr>
                <w:ilvl w:val="0"/>
                <w:numId w:val="6"/>
              </w:numPr>
            </w:pPr>
            <w:r>
              <w:rPr>
                <w:highlight w:val="white"/>
              </w:rPr>
              <w:t xml:space="preserve">Увеличаване броя на учителите, използващи новаторските методи на преподаване и новаторското съдържание с цел оказване на най-добра </w:t>
            </w:r>
            <w:r>
              <w:rPr>
                <w:highlight w:val="white"/>
              </w:rPr>
              <w:t>подкрепа на учениците в неравностойно положение, чрез създаване</w:t>
            </w:r>
            <w:r>
              <w:t xml:space="preserve">  на устойчива структура за привличане и подбор на </w:t>
            </w:r>
            <w:r>
              <w:rPr>
                <w:highlight w:val="white"/>
              </w:rPr>
              <w:t>хора с висока мотивация работят като учители с ученици в неравностойно положение и да прилагат новаторски методи на преподаване и учене, без з</w:t>
            </w:r>
            <w:r>
              <w:rPr>
                <w:highlight w:val="white"/>
              </w:rPr>
              <w:t xml:space="preserve">адължително да притежават педагогическо образование или предишен опит, които с подходящо обучение и подкрепа да бъдат насочени към целеви училища с недостиг на преподаватели и/или концентрация на ученици в неравностойно положение още докато са в процес на </w:t>
            </w:r>
            <w:r>
              <w:rPr>
                <w:highlight w:val="white"/>
              </w:rPr>
              <w:t>придобиване на педагогическа квалификация.</w:t>
            </w:r>
          </w:p>
          <w:p w:rsidR="00410CDB" w:rsidRDefault="00997B22">
            <w:pPr>
              <w:numPr>
                <w:ilvl w:val="0"/>
                <w:numId w:val="6"/>
              </w:numPr>
              <w:spacing w:after="120"/>
              <w:rPr>
                <w:highlight w:val="white"/>
              </w:rPr>
            </w:pPr>
            <w:r>
              <w:rPr>
                <w:highlight w:val="white"/>
              </w:rPr>
              <w:lastRenderedPageBreak/>
              <w:t xml:space="preserve">Повишаване на ефективността на РУО в подкрепата на учителите и обучаващите с фокус насърчаване на новаторски методи на преподаване и оказване на подкрепа на ученици в неравностойно положение. </w:t>
            </w:r>
          </w:p>
          <w:p w:rsidR="00410CDB" w:rsidRDefault="00997B22">
            <w:pPr>
              <w:spacing w:after="120"/>
              <w:rPr>
                <w:i/>
              </w:rPr>
            </w:pPr>
            <w:r>
              <w:rPr>
                <w:i/>
              </w:rPr>
              <w:t>Посочете ясни резулт</w:t>
            </w:r>
            <w:r>
              <w:rPr>
                <w:i/>
              </w:rPr>
              <w:t>ати, които трябва да бъдат постигнати за преодоляване на идентифицираните в т. 3 нужди и предизвикателства.</w:t>
            </w:r>
          </w:p>
          <w:p w:rsidR="00410CDB" w:rsidRDefault="00997B22">
            <w:pPr>
              <w:spacing w:after="120"/>
              <w:rPr>
                <w:b/>
              </w:rPr>
            </w:pPr>
            <w:r>
              <w:rPr>
                <w:i/>
              </w:rPr>
              <w:t>Моля съобразете с основния набор от показатели за резултатите на ЕСФ+, посочени в Приложение I на проект на Регламент за ЕСФ+ COM(2018) 382</w:t>
            </w:r>
          </w:p>
        </w:tc>
      </w:tr>
      <w:tr w:rsidR="00410CDB">
        <w:trPr>
          <w:trHeight w:val="1060"/>
        </w:trPr>
        <w:tc>
          <w:tcPr>
            <w:tcW w:w="2136" w:type="dxa"/>
            <w:shd w:val="clear" w:color="auto" w:fill="EDEDED"/>
          </w:tcPr>
          <w:p w:rsidR="00410CDB" w:rsidRDefault="00997B22">
            <w:pPr>
              <w:spacing w:after="120"/>
              <w:rPr>
                <w:b/>
              </w:rPr>
            </w:pPr>
            <w:r>
              <w:rPr>
                <w:b/>
              </w:rPr>
              <w:lastRenderedPageBreak/>
              <w:t>2. Продукти</w:t>
            </w:r>
          </w:p>
        </w:tc>
        <w:tc>
          <w:tcPr>
            <w:tcW w:w="8070" w:type="dxa"/>
            <w:shd w:val="clear" w:color="auto" w:fill="auto"/>
          </w:tcPr>
          <w:p w:rsidR="00410CDB" w:rsidRDefault="00997B22">
            <w:pPr>
              <w:numPr>
                <w:ilvl w:val="0"/>
                <w:numId w:val="1"/>
              </w:numPr>
              <w:spacing w:line="276" w:lineRule="auto"/>
            </w:pPr>
            <w:r>
              <w:t xml:space="preserve">Инструмент за диагностика за нуждите на екипа и учениците; </w:t>
            </w:r>
          </w:p>
          <w:p w:rsidR="00410CDB" w:rsidRDefault="00997B22">
            <w:pPr>
              <w:numPr>
                <w:ilvl w:val="0"/>
                <w:numId w:val="1"/>
              </w:numPr>
              <w:spacing w:line="276" w:lineRule="auto"/>
            </w:pPr>
            <w:r>
              <w:t>Холистична обучителна програма за училищни екипи, съобразена с индивидуалните нужди на училищата, включваща, но без да се ограничава до:</w:t>
            </w:r>
          </w:p>
          <w:p w:rsidR="00410CDB" w:rsidRDefault="00997B22">
            <w:pPr>
              <w:numPr>
                <w:ilvl w:val="1"/>
                <w:numId w:val="1"/>
              </w:numPr>
              <w:spacing w:line="276" w:lineRule="auto"/>
            </w:pPr>
            <w:r>
              <w:t>Обучения за повишаване управленския капацитет н</w:t>
            </w:r>
            <w:r>
              <w:t xml:space="preserve">а лидерските екипи; </w:t>
            </w:r>
          </w:p>
          <w:p w:rsidR="00410CDB" w:rsidRDefault="00997B22">
            <w:pPr>
              <w:numPr>
                <w:ilvl w:val="1"/>
                <w:numId w:val="1"/>
              </w:numPr>
              <w:spacing w:line="276" w:lineRule="auto"/>
            </w:pPr>
            <w:r>
              <w:t>Обучения за работа с деца с различни способности и за работа в мултикултурна среда;</w:t>
            </w:r>
          </w:p>
          <w:p w:rsidR="00410CDB" w:rsidRDefault="00997B22">
            <w:pPr>
              <w:numPr>
                <w:ilvl w:val="1"/>
                <w:numId w:val="1"/>
              </w:numPr>
              <w:spacing w:line="276" w:lineRule="auto"/>
            </w:pPr>
            <w:r>
              <w:t>Обучения за учители, съобразени с идентифицираните нужди на учениците;</w:t>
            </w:r>
          </w:p>
          <w:p w:rsidR="00410CDB" w:rsidRDefault="00997B22">
            <w:pPr>
              <w:numPr>
                <w:ilvl w:val="1"/>
                <w:numId w:val="1"/>
              </w:numPr>
              <w:spacing w:line="276" w:lineRule="auto"/>
            </w:pPr>
            <w:r>
              <w:rPr>
                <w:highlight w:val="white"/>
              </w:rPr>
              <w:t>Обучения за работа с родители и с общността и приобщаването им в подкрепа на уче</w:t>
            </w:r>
            <w:r>
              <w:rPr>
                <w:highlight w:val="white"/>
              </w:rPr>
              <w:t>ниците</w:t>
            </w:r>
          </w:p>
          <w:p w:rsidR="00410CDB" w:rsidRDefault="00997B22">
            <w:pPr>
              <w:numPr>
                <w:ilvl w:val="1"/>
                <w:numId w:val="1"/>
              </w:numPr>
              <w:spacing w:line="276" w:lineRule="auto"/>
            </w:pPr>
            <w:r>
              <w:t>Обучения за работа с родители и с общността и приобщаването им в подкрепа на учениците;</w:t>
            </w:r>
          </w:p>
          <w:p w:rsidR="00410CDB" w:rsidRDefault="00997B22">
            <w:pPr>
              <w:numPr>
                <w:ilvl w:val="1"/>
                <w:numId w:val="1"/>
              </w:numPr>
              <w:spacing w:line="276" w:lineRule="auto"/>
            </w:pPr>
            <w:r>
              <w:t>Създаване на професионални учещи общности, които способстват споделянето на добри практики и работа в подкрепяща среда;</w:t>
            </w:r>
          </w:p>
          <w:p w:rsidR="00410CDB" w:rsidRDefault="00997B22">
            <w:pPr>
              <w:numPr>
                <w:ilvl w:val="1"/>
                <w:numId w:val="1"/>
              </w:numPr>
              <w:spacing w:line="276" w:lineRule="auto"/>
            </w:pPr>
            <w:r>
              <w:t xml:space="preserve">Допълнителни структури за подкрепа, като </w:t>
            </w:r>
            <w:r>
              <w:t>супервизия, наблюдение на уроци, подкрепа с развиване на различни умения, споделяне на добри практики и изработване на стратегии за справяне с предизвикателства.</w:t>
            </w:r>
          </w:p>
          <w:p w:rsidR="00410CDB" w:rsidRDefault="00997B22">
            <w:pPr>
              <w:numPr>
                <w:ilvl w:val="0"/>
                <w:numId w:val="1"/>
              </w:numPr>
              <w:spacing w:line="276" w:lineRule="auto"/>
            </w:pPr>
            <w:r>
              <w:rPr>
                <w:highlight w:val="white"/>
              </w:rPr>
              <w:t>Структури за ефективно споделяне на добри практики - професионални учебни общности, онлайн пла</w:t>
            </w:r>
            <w:r>
              <w:rPr>
                <w:highlight w:val="white"/>
              </w:rPr>
              <w:t>тформи с ресурси, форуми за споделяне на добри практики;</w:t>
            </w:r>
          </w:p>
          <w:p w:rsidR="00410CDB" w:rsidRDefault="00997B22">
            <w:pPr>
              <w:numPr>
                <w:ilvl w:val="0"/>
                <w:numId w:val="1"/>
              </w:numPr>
              <w:spacing w:line="276" w:lineRule="auto"/>
            </w:pPr>
            <w:r>
              <w:t>Програма за обучение и подкрепа на начинаещи учители без предишен опит и/или квалификация, с фокус прилагане на новаторски практики и работа с ученици в неравностойно положение</w:t>
            </w:r>
          </w:p>
          <w:p w:rsidR="00410CDB" w:rsidRDefault="00997B22">
            <w:pPr>
              <w:numPr>
                <w:ilvl w:val="0"/>
                <w:numId w:val="1"/>
              </w:numPr>
              <w:spacing w:line="276" w:lineRule="auto"/>
            </w:pPr>
            <w:r>
              <w:t xml:space="preserve">Структури за подкрепа </w:t>
            </w:r>
            <w:r>
              <w:t>на учители от страна на РУО, с фокус насърчаване на професионалното развитие, прилагането на новаторски практики и адресирането на нуждите на всеки ученик от страна на учителите.</w:t>
            </w:r>
          </w:p>
          <w:p w:rsidR="00410CDB" w:rsidRDefault="00410CDB">
            <w:pPr>
              <w:spacing w:line="276" w:lineRule="auto"/>
              <w:ind w:left="720"/>
              <w:rPr>
                <w:highlight w:val="white"/>
              </w:rPr>
            </w:pPr>
          </w:p>
          <w:p w:rsidR="00410CDB" w:rsidRDefault="00997B22">
            <w:pPr>
              <w:spacing w:after="120"/>
              <w:rPr>
                <w:b/>
              </w:rPr>
            </w:pPr>
            <w:r>
              <w:rPr>
                <w:i/>
              </w:rPr>
              <w:lastRenderedPageBreak/>
              <w:t>Посочете предложения за специфични за програмата индикатори за краен продукт. Моля съобразете с основния набор от показатели за резултатите на ЕСФ+, посочени в Приложение I на проект на Регламент за ЕСФ+ COM(2018) 382</w:t>
            </w:r>
          </w:p>
        </w:tc>
      </w:tr>
      <w:tr w:rsidR="00410CDB">
        <w:trPr>
          <w:trHeight w:val="1080"/>
        </w:trPr>
        <w:tc>
          <w:tcPr>
            <w:tcW w:w="2136" w:type="dxa"/>
            <w:shd w:val="clear" w:color="auto" w:fill="EDEDED"/>
          </w:tcPr>
          <w:p w:rsidR="00410CDB" w:rsidRDefault="00997B22">
            <w:pPr>
              <w:spacing w:after="120"/>
              <w:rPr>
                <w:b/>
              </w:rPr>
            </w:pPr>
            <w:r>
              <w:rPr>
                <w:b/>
              </w:rPr>
              <w:lastRenderedPageBreak/>
              <w:t>3.Нужди и предизвикателства</w:t>
            </w:r>
          </w:p>
        </w:tc>
        <w:tc>
          <w:tcPr>
            <w:tcW w:w="8070" w:type="dxa"/>
            <w:shd w:val="clear" w:color="auto" w:fill="auto"/>
          </w:tcPr>
          <w:p w:rsidR="00410CDB" w:rsidRDefault="00997B22">
            <w:pPr>
              <w:spacing w:after="120"/>
              <w:rPr>
                <w:i/>
              </w:rPr>
            </w:pPr>
            <w:r>
              <w:rPr>
                <w:i/>
              </w:rPr>
              <w:t xml:space="preserve">Посочете </w:t>
            </w:r>
            <w:r>
              <w:rPr>
                <w:i/>
              </w:rPr>
              <w:t xml:space="preserve">конкретни нужди в сектора и на целевите групи, чието преодоляване е необходимо, за да се адресират идентифицираните от ЕК в Приложение Г нужди. </w:t>
            </w:r>
          </w:p>
          <w:p w:rsidR="00410CDB" w:rsidRDefault="00997B22">
            <w:pPr>
              <w:spacing w:after="120"/>
              <w:rPr>
                <w:i/>
              </w:rPr>
            </w:pPr>
            <w:r>
              <w:rPr>
                <w:i/>
              </w:rPr>
              <w:t>Моля да попълните в размер не повече от 3 страници.</w:t>
            </w:r>
          </w:p>
          <w:p w:rsidR="00410CDB" w:rsidRDefault="00997B22">
            <w:pPr>
              <w:spacing w:line="276" w:lineRule="auto"/>
            </w:pPr>
            <w:r>
              <w:t xml:space="preserve">Действащият от 2016 година насам Закон за предучилищното и </w:t>
            </w:r>
            <w:r>
              <w:t>училищното образование отделя специално внимание на продължаващата квалификация и подкрепа на педагогическите специалисти с цел подобряване на знанията, уменията и нагласите на учителите, поддържане на тяхната мотивация и преодоляване на предизвикателстват</w:t>
            </w:r>
            <w:r>
              <w:t>а и дефицитите на  най-уязвимите ученици. В бюджетите на всяко училище има предвидени суми за обучения суми за обучения и продължаваща квалификация на преподавателите, чиито минимални размери са нормативно определени. Всички учители традиционно посещават к</w:t>
            </w:r>
            <w:r>
              <w:t>урсове, като най-успешни са онези, които са съобразени с конкретните нужди на училищата и произтичат от визията за напредък, която всеки колектив изработва. Макар достъп до обучения да имат всички специалисти, нерядко те не адресират нужди в логическа посл</w:t>
            </w:r>
            <w:r>
              <w:t>едователност и резултатите от тях не се проследяват. Нещо повече, нерядко училищата имат нужда от подкрепа, различна от стандартния формат на обучение - супервизия, наблюдение на уроци, подкрепа с развиване на различни умения, споделяне на добри практики и</w:t>
            </w:r>
            <w:r>
              <w:t xml:space="preserve"> изработване на стратегии за справяне с предизвикателства.</w:t>
            </w:r>
          </w:p>
          <w:p w:rsidR="00410CDB" w:rsidRDefault="00410CDB">
            <w:pPr>
              <w:spacing w:line="276" w:lineRule="auto"/>
            </w:pPr>
          </w:p>
          <w:p w:rsidR="00410CDB" w:rsidRDefault="00997B22">
            <w:pPr>
              <w:spacing w:line="276" w:lineRule="auto"/>
            </w:pPr>
            <w:r>
              <w:t>Настоящото предложение разглежда четири интервенции за целенасочена подкрепа с доказано висок потенциал за преодоляване на образователното неравенство и дефицитите на ученици от уязвими общности п</w:t>
            </w:r>
            <w:r>
              <w:t>осредством работа с преподавателите за овладяване на</w:t>
            </w:r>
            <w:r>
              <w:rPr>
                <w:b/>
              </w:rPr>
              <w:t xml:space="preserve"> </w:t>
            </w:r>
            <w:r>
              <w:t>новаторските методи на преподаване и обновено учебно съдържание:</w:t>
            </w:r>
          </w:p>
          <w:p w:rsidR="00410CDB" w:rsidRDefault="00997B22">
            <w:pPr>
              <w:spacing w:line="276" w:lineRule="auto"/>
            </w:pPr>
            <w:r>
              <w:rPr>
                <w:b/>
              </w:rPr>
              <w:t xml:space="preserve"> </w:t>
            </w:r>
          </w:p>
          <w:p w:rsidR="00410CDB" w:rsidRDefault="00997B22">
            <w:pPr>
              <w:numPr>
                <w:ilvl w:val="0"/>
                <w:numId w:val="4"/>
              </w:numPr>
              <w:spacing w:line="276" w:lineRule="auto"/>
            </w:pPr>
            <w:r>
              <w:t>Работа за цялостна промяна и подобрение на училищно ниво;</w:t>
            </w:r>
          </w:p>
          <w:p w:rsidR="00410CDB" w:rsidRDefault="00997B22">
            <w:pPr>
              <w:numPr>
                <w:ilvl w:val="0"/>
                <w:numId w:val="4"/>
              </w:numPr>
              <w:spacing w:line="276" w:lineRule="auto"/>
            </w:pPr>
            <w:r>
              <w:t>Структурирано споделяне на добри практики и обмяна на опит за справяне с идент</w:t>
            </w:r>
            <w:r>
              <w:t>ифицирани от самите учители проблеми;</w:t>
            </w:r>
          </w:p>
          <w:p w:rsidR="00410CDB" w:rsidRDefault="00997B22">
            <w:pPr>
              <w:numPr>
                <w:ilvl w:val="0"/>
                <w:numId w:val="4"/>
              </w:numPr>
              <w:spacing w:line="276" w:lineRule="auto"/>
            </w:pPr>
            <w:r>
              <w:t>Привличане, подбор, обучение на хора без педагогически опит, но с висока мотивация да бъдат учители и да прилагат новаторски методи на преподаване с цел оказване на най-добра подкрепа на учениците в неравностойно полож</w:t>
            </w:r>
            <w:r>
              <w:t>ение, които с подходящо обучение и подкрепа са насочени в целеви училища с недостиг на преподаватели.</w:t>
            </w:r>
          </w:p>
          <w:p w:rsidR="00410CDB" w:rsidRDefault="00997B22">
            <w:pPr>
              <w:numPr>
                <w:ilvl w:val="0"/>
                <w:numId w:val="4"/>
              </w:numPr>
              <w:spacing w:line="276" w:lineRule="auto"/>
            </w:pPr>
            <w:r>
              <w:lastRenderedPageBreak/>
              <w:t xml:space="preserve">Нов модел на подкрепа на учителите от страна на регионалните управления по образованието, с фокус насърчаване на новаторските методи на преподаване и новаторското съдържание с цел оказване на най-добра подкрепа на учениците в неравностойно положение </w:t>
            </w:r>
          </w:p>
          <w:p w:rsidR="00410CDB" w:rsidRDefault="00410CDB">
            <w:pPr>
              <w:spacing w:line="276" w:lineRule="auto"/>
            </w:pPr>
          </w:p>
          <w:p w:rsidR="00410CDB" w:rsidRDefault="00997B22">
            <w:pPr>
              <w:numPr>
                <w:ilvl w:val="0"/>
                <w:numId w:val="5"/>
              </w:numPr>
              <w:spacing w:line="276" w:lineRule="auto"/>
              <w:rPr>
                <w:b/>
              </w:rPr>
            </w:pPr>
            <w:r>
              <w:rPr>
                <w:b/>
              </w:rPr>
              <w:t>Работа за цялостна промяна и подобрение на училищно ниво</w:t>
            </w:r>
          </w:p>
          <w:p w:rsidR="00410CDB" w:rsidRDefault="00997B22">
            <w:pPr>
              <w:spacing w:line="276" w:lineRule="auto"/>
            </w:pPr>
            <w:r>
              <w:t>Училищата, в които се изработват цялостна програма за въздействие на училищно ниво  отделят специално внимание на връзките между различните квалификационни дейности и работят за ясно дефинирани крайн</w:t>
            </w:r>
            <w:r>
              <w:t>и резултати, структурирани около предоставяне на по-качествено образование на учениците, особено тези в неравностойно положение. Те имат нужда от съгласуваната подкрепа на всички свои учители. Ето защо училищата, които изграждат цялостна стратегия за работ</w:t>
            </w:r>
            <w:r>
              <w:t>а на училищно ниво, постигат  трайно подобрение на образователните резултати на своите ученици. Повишаването на капацитета на училищните екипи за водено от обща визия професионално развитие на учителите и обучаващите е инвестиция в цялостния напредък на уч</w:t>
            </w:r>
            <w:r>
              <w:t>илищната общност, а това е от полза на всички участници в нея.</w:t>
            </w:r>
          </w:p>
          <w:p w:rsidR="00410CDB" w:rsidRDefault="00410CDB">
            <w:pPr>
              <w:spacing w:line="276" w:lineRule="auto"/>
            </w:pPr>
          </w:p>
          <w:p w:rsidR="00410CDB" w:rsidRDefault="00997B22">
            <w:pPr>
              <w:numPr>
                <w:ilvl w:val="0"/>
                <w:numId w:val="5"/>
              </w:numPr>
              <w:spacing w:line="276" w:lineRule="auto"/>
              <w:rPr>
                <w:b/>
              </w:rPr>
            </w:pPr>
            <w:r>
              <w:rPr>
                <w:b/>
              </w:rPr>
              <w:t>Структурирано споделяне на добри практики и обмяна на опит за справяне с идентифицирани от самите учители проблеми</w:t>
            </w:r>
          </w:p>
          <w:p w:rsidR="00410CDB" w:rsidRDefault="00997B22">
            <w:pPr>
              <w:shd w:val="clear" w:color="auto" w:fill="FFFFFF"/>
              <w:spacing w:after="300" w:line="276" w:lineRule="auto"/>
            </w:pPr>
            <w:r>
              <w:t>Една от най-демотивиращите ситуации за учителите възниква, когато се чувстват</w:t>
            </w:r>
            <w:r>
              <w:t xml:space="preserve"> притиснати от формални изисквания, които не отговарят на нивото на част или на всичките им ученици. Макар реално всеки учител да има свободата да изгради сам плана за учебната година, вземайки предвид нуждите на учениците и особеностите на всеки клас, на </w:t>
            </w:r>
            <w:r>
              <w:t xml:space="preserve">практика много преподаватели споделят, че не са подготвени да направят това. Учителите се нуждаят от пространство за обмяна на опит и стратегии за трайно справяне с предизвикателствата, които срещат в ежедневната си работа. </w:t>
            </w:r>
          </w:p>
          <w:p w:rsidR="00410CDB" w:rsidRDefault="00997B22">
            <w:pPr>
              <w:spacing w:line="276" w:lineRule="auto"/>
            </w:pPr>
            <w:r>
              <w:t>Доказан начин за ефективно спра</w:t>
            </w:r>
            <w:r>
              <w:t>вяне с предизвикателството на диференцираното преподаване в отговор на нуждите на учениците, са Професионалните учещи се общности (ПУО). Те са успешен механизъм за повишаване на ефективността на целия колектив, за засилване на чувството за общност, за взаи</w:t>
            </w:r>
            <w:r>
              <w:t>мопомощ и подкрепа, която не изисква сериозен допълнителен ресурс. Едновременно с това те предоставят възможност за споделяне на добри практики, изява и професионално израстване на активните и търсещи учители, което способства и за тяхното задържане в учил</w:t>
            </w:r>
            <w:r>
              <w:t>ище.</w:t>
            </w:r>
          </w:p>
          <w:p w:rsidR="00410CDB" w:rsidRDefault="00997B22">
            <w:pPr>
              <w:shd w:val="clear" w:color="auto" w:fill="FFFFFF"/>
              <w:spacing w:after="300" w:line="276" w:lineRule="auto"/>
            </w:pPr>
            <w:r>
              <w:t xml:space="preserve">Също така особено ефективно е, когато учителите имат възможността да черпят от опита на колеги в сходна ситуация и контекст от други училища и, подкрепени от </w:t>
            </w:r>
            <w:r>
              <w:lastRenderedPageBreak/>
              <w:t>опитен колега, да градят собствена стратегия за прилагане на наученото. Опитът на “Заедно в ч</w:t>
            </w:r>
            <w:r>
              <w:t>ас” показва, че форуми за обмяна на добри практики, съгласувани с  идентифицирани на ниво РУО предизвикателства пред учителите подпомага учителите да се чувстват подкрепени и да търсят работещи решения. Особено важни са тези структури за взаимопомощ при ра</w:t>
            </w:r>
            <w:r>
              <w:t>ботата с ученици в неравностойно положение, защото форумите, в които се споделят успешни стратегии за справяне с честосрещани предизвикателства дават възможност и за работа за промяна  на нагласите на педагозите към това какво може да бъде постигнато с уче</w:t>
            </w:r>
            <w:r>
              <w:t>ниците, които в най-голяма степен имат нужда от подкрепа.</w:t>
            </w:r>
          </w:p>
          <w:p w:rsidR="00410CDB" w:rsidRDefault="00997B22">
            <w:pPr>
              <w:shd w:val="clear" w:color="auto" w:fill="FFFFFF"/>
              <w:spacing w:after="300" w:line="276" w:lineRule="auto"/>
            </w:pPr>
            <w:r>
              <w:t>Не на последно място, създаването и поддържането на онлайн платформи за споделяне на добри практики улеснява достъпа до тези практики за всички учители в страната и насърчава подобряването на дигита</w:t>
            </w:r>
            <w:r>
              <w:t>лните им компетенции.</w:t>
            </w:r>
          </w:p>
          <w:p w:rsidR="00410CDB" w:rsidRDefault="00997B22">
            <w:pPr>
              <w:numPr>
                <w:ilvl w:val="0"/>
                <w:numId w:val="5"/>
              </w:numPr>
              <w:spacing w:line="276" w:lineRule="auto"/>
              <w:rPr>
                <w:b/>
              </w:rPr>
            </w:pPr>
            <w:r>
              <w:rPr>
                <w:b/>
              </w:rPr>
              <w:t>Иновативна пътека за достъп до учителската професия в подкрепа на училища с ниски образователни резултати и работещи с уязвими общности</w:t>
            </w:r>
          </w:p>
          <w:p w:rsidR="00410CDB" w:rsidRDefault="00997B22">
            <w:pPr>
              <w:widowControl w:val="0"/>
              <w:spacing w:before="240" w:after="240" w:line="276" w:lineRule="auto"/>
            </w:pPr>
            <w:r>
              <w:t xml:space="preserve">Практиката на „Заедно в час“ показва, че много специалисти от различни сфери, които успешно са се </w:t>
            </w:r>
            <w:r>
              <w:t xml:space="preserve">реализирали в тях, имат желание </w:t>
            </w:r>
            <w:r>
              <w:rPr>
                <w:highlight w:val="white"/>
              </w:rPr>
              <w:t>да привнесат своя опит в образователната система и да работят като учители именно с ученици в неравностойно положение</w:t>
            </w:r>
            <w:r>
              <w:t>. За мнозина обаче е немислимо да посветят нови от две до четири години от живота си в придобиване на квали</w:t>
            </w:r>
            <w:r>
              <w:t>фикация „учител“, преди да започнат работа, още повече че не са сигурни дали ще се справят в класната стая без допълнителна подкрепа. Ето защо подход, който позволява едновременно работа като учител (с подкрепа от подготвен за това учителски колектив и мен</w:t>
            </w:r>
            <w:r>
              <w:t>тор) и обучение в съкратени срокове в реална среда би дал възможност, от една страна, за справяне с недостига на учители по различни предмети, а от друга, би способствал мотивирани специалисти да осмислят, намерят по-бързо своето място в системата и да я о</w:t>
            </w:r>
            <w:r>
              <w:t xml:space="preserve">богатят с предишния си опит от пазара на труда.  </w:t>
            </w:r>
          </w:p>
          <w:p w:rsidR="00410CDB" w:rsidRDefault="00997B22">
            <w:pPr>
              <w:widowControl w:val="0"/>
              <w:spacing w:before="240" w:after="240" w:line="276" w:lineRule="auto"/>
            </w:pPr>
            <w:r>
              <w:t xml:space="preserve">Между 2016 и 2019 Европейската комисия инвестира в проекта „Нов път за нови таланти в преподаването“ (NEWTT), чиято цел беше да отвори пътя към класните стаи за успешни и мотивирани специалисти-висшисти от </w:t>
            </w:r>
            <w:r>
              <w:t>различни професионални сфери в подкрепа на училища с ниски образователни резултати и работещи с уязвими общности. „Заедно в час“ беше водещ партньор в NEWTT и работи по него заедно с Министерството на образованието и науката и Пловдивския университет „Паис</w:t>
            </w:r>
            <w:r>
              <w:t xml:space="preserve">ий Хилендарски“. Независимата оценка на резултатите от проекта се осъществи  от Университет на Дуисбург-Есен, Германия. Проектът е </w:t>
            </w:r>
            <w:r>
              <w:lastRenderedPageBreak/>
              <w:t>успешен и препоръките за национални и европейски политики за привличане, обучение, развитие и задържане на нови специалисти в</w:t>
            </w:r>
            <w:r>
              <w:t xml:space="preserve"> системата на училищното образование залягат в основата на Национална програма “Мотивирани учители”. </w:t>
            </w:r>
          </w:p>
          <w:p w:rsidR="00410CDB" w:rsidRDefault="00997B22">
            <w:pPr>
              <w:widowControl w:val="0"/>
              <w:spacing w:before="240" w:after="240" w:line="276" w:lineRule="auto"/>
            </w:pPr>
            <w:r>
              <w:t>По време на целия период на NEWTT регулярно се измерваха знанията, уменията и нагласите на участниците и се сравняват с тези на контролна група от начинае</w:t>
            </w:r>
            <w:r>
              <w:t xml:space="preserve">щи учители, обучени посредством традиционните учебни програми за придобиване на учителска правоспособност. Заключенията на екипа оценители подчертават, че: </w:t>
            </w:r>
          </w:p>
          <w:p w:rsidR="00410CDB" w:rsidRDefault="00997B22">
            <w:pPr>
              <w:widowControl w:val="0"/>
              <w:spacing w:before="240" w:after="240" w:line="276" w:lineRule="auto"/>
            </w:pPr>
            <w:r>
              <w:t xml:space="preserve">1. Проектът е привлякъл успешни висшисти, завършващи студенти и професионалисти от различни сфери, </w:t>
            </w:r>
            <w:r>
              <w:t xml:space="preserve">с разнообразен академичен и професионален опит,които не биха постъпили в учителската професия чрез традиционни начини за обучение на учители. Основните мотиви за влизане в професията на участниците в иновативната обучителна програма са желанието за работа </w:t>
            </w:r>
            <w:r>
              <w:t xml:space="preserve">с деца и младежи и чувството за социална отговорност. </w:t>
            </w:r>
          </w:p>
          <w:p w:rsidR="00410CDB" w:rsidRDefault="00997B22">
            <w:pPr>
              <w:widowControl w:val="0"/>
              <w:spacing w:before="240" w:after="240" w:line="276" w:lineRule="auto"/>
            </w:pPr>
            <w:r>
              <w:t>2. След края на двугодишната програма, която включва теоретична подготовка и преподаване в училище, участниците в иновативната пътека за достъп до училище в България притежават повече педагогически зна</w:t>
            </w:r>
            <w:r>
              <w:t>ния отколкото традиционно обучените учители от контролната група.</w:t>
            </w:r>
          </w:p>
          <w:p w:rsidR="00410CDB" w:rsidRDefault="00997B22">
            <w:pPr>
              <w:widowControl w:val="0"/>
              <w:spacing w:before="240" w:after="240" w:line="276" w:lineRule="auto"/>
            </w:pPr>
            <w:r>
              <w:t>3. Училищата са посрещнали добре новите учители. В тяхно лице са разпознали ценна подкрепа в справянето с нарастващите предизвикателства в класните стаи и в общностите, в които работят.</w:t>
            </w:r>
          </w:p>
          <w:p w:rsidR="00410CDB" w:rsidRDefault="00997B22">
            <w:pPr>
              <w:widowControl w:val="0"/>
              <w:spacing w:before="240" w:after="240" w:line="276" w:lineRule="auto"/>
            </w:pPr>
            <w:r>
              <w:t>4. И</w:t>
            </w:r>
            <w:r>
              <w:t>новативна пътека за достъп до професията успешно е помогнала на училищата да посрещнат нуждите си в непривилегированите общности, в които работят, като им е дал достъп до компетентни и ангажирани учители с набор от познания.</w:t>
            </w:r>
          </w:p>
          <w:p w:rsidR="00410CDB" w:rsidRDefault="00997B22">
            <w:pPr>
              <w:widowControl w:val="0"/>
              <w:spacing w:before="240" w:after="240" w:line="276" w:lineRule="auto"/>
              <w:rPr>
                <w:b/>
              </w:rPr>
            </w:pPr>
            <w:r>
              <w:rPr>
                <w:b/>
              </w:rPr>
              <w:t>Нов модел на</w:t>
            </w:r>
            <w:r>
              <w:rPr>
                <w:b/>
              </w:rPr>
              <w:t xml:space="preserve"> подкрепа на учителите от страна на регионалните управления по образованието</w:t>
            </w:r>
          </w:p>
          <w:p w:rsidR="00410CDB" w:rsidRDefault="00997B22">
            <w:pPr>
              <w:widowControl w:val="0"/>
              <w:spacing w:before="240" w:after="240" w:line="276" w:lineRule="auto"/>
            </w:pPr>
            <w:r>
              <w:t>Независимо, че след влизане в сила на новия Закон за предучилищното и училищно образование през 2016 на регионалните управления на образованието беше заложена  предимно подкрепяща</w:t>
            </w:r>
            <w:r>
              <w:t xml:space="preserve"> функция по отношение на училищата, директорите и педагогическите специалисти, все още на много места се набляга на контролната дейност за сметка на подкрепящата такава. Безспорно за стимулиране на използването на новаторски методи на преподаване и новатор</w:t>
            </w:r>
            <w:r>
              <w:t xml:space="preserve">ското съдържание с цел оказване на най-добра подкрепа на учениците в неравностойно положение, учителите и обучаващите имат нужда от подкрепа и тук подкрепата от страна на регионалните управления е ключова. Засилването на </w:t>
            </w:r>
            <w:r>
              <w:lastRenderedPageBreak/>
              <w:t xml:space="preserve">подкрепящата функция на експертите </w:t>
            </w:r>
            <w:r>
              <w:t>на РУО и прилагането на структуриран подход в тази посока от страна на експертите  би допринесло за професионалното развитие на учителите, би стимулирало използването на новаторски подходи и би намалило стреса и напрежението в учителите.</w:t>
            </w:r>
          </w:p>
          <w:p w:rsidR="00410CDB" w:rsidRDefault="00410CDB">
            <w:pPr>
              <w:widowControl w:val="0"/>
              <w:spacing w:before="240" w:after="240" w:line="276" w:lineRule="auto"/>
            </w:pPr>
          </w:p>
        </w:tc>
      </w:tr>
      <w:tr w:rsidR="00410CDB">
        <w:trPr>
          <w:trHeight w:val="800"/>
        </w:trPr>
        <w:tc>
          <w:tcPr>
            <w:tcW w:w="2136" w:type="dxa"/>
            <w:shd w:val="clear" w:color="auto" w:fill="EDEDED"/>
          </w:tcPr>
          <w:p w:rsidR="00410CDB" w:rsidRDefault="00997B22">
            <w:pPr>
              <w:spacing w:after="120"/>
              <w:rPr>
                <w:b/>
              </w:rPr>
            </w:pPr>
            <w:r>
              <w:rPr>
                <w:b/>
              </w:rPr>
              <w:lastRenderedPageBreak/>
              <w:t>4. Дейности</w:t>
            </w:r>
          </w:p>
        </w:tc>
        <w:tc>
          <w:tcPr>
            <w:tcW w:w="8070" w:type="dxa"/>
            <w:shd w:val="clear" w:color="auto" w:fill="auto"/>
          </w:tcPr>
          <w:p w:rsidR="00410CDB" w:rsidRDefault="00997B22">
            <w:pPr>
              <w:numPr>
                <w:ilvl w:val="0"/>
                <w:numId w:val="3"/>
              </w:numPr>
              <w:spacing w:line="276" w:lineRule="auto"/>
              <w:rPr>
                <w:b/>
              </w:rPr>
            </w:pPr>
            <w:r>
              <w:rPr>
                <w:b/>
              </w:rPr>
              <w:t>Създ</w:t>
            </w:r>
            <w:r>
              <w:rPr>
                <w:b/>
              </w:rPr>
              <w:t>аване на структурирана програма за цялостна подкрепа на  училищни екипи.</w:t>
            </w:r>
          </w:p>
          <w:p w:rsidR="00410CDB" w:rsidRDefault="00997B22">
            <w:pPr>
              <w:numPr>
                <w:ilvl w:val="1"/>
                <w:numId w:val="3"/>
              </w:numPr>
              <w:spacing w:line="276" w:lineRule="auto"/>
            </w:pPr>
            <w:r>
              <w:t>Разработване на инструмент за  диагностика за нуждите на екипа и учениците на дадено училище;</w:t>
            </w:r>
          </w:p>
          <w:p w:rsidR="00410CDB" w:rsidRDefault="00997B22">
            <w:pPr>
              <w:numPr>
                <w:ilvl w:val="1"/>
                <w:numId w:val="3"/>
              </w:numPr>
              <w:spacing w:line="276" w:lineRule="auto"/>
            </w:pPr>
            <w:r>
              <w:t>Разработване на програма  за цялостна подкрепа на  училищни екипи, включваща обучения и д</w:t>
            </w:r>
            <w:r>
              <w:t>руги структури за подкрепа.</w:t>
            </w:r>
          </w:p>
          <w:p w:rsidR="00410CDB" w:rsidRDefault="00997B22">
            <w:pPr>
              <w:numPr>
                <w:ilvl w:val="0"/>
                <w:numId w:val="3"/>
              </w:numPr>
              <w:spacing w:line="276" w:lineRule="auto"/>
              <w:rPr>
                <w:b/>
              </w:rPr>
            </w:pPr>
            <w:r>
              <w:rPr>
                <w:b/>
              </w:rPr>
              <w:t>Прилагане на структурирана програма за цялостна подкрепа на  училищни екипи</w:t>
            </w:r>
          </w:p>
          <w:p w:rsidR="00410CDB" w:rsidRDefault="00997B22">
            <w:pPr>
              <w:numPr>
                <w:ilvl w:val="1"/>
                <w:numId w:val="3"/>
              </w:numPr>
              <w:spacing w:line="276" w:lineRule="auto"/>
            </w:pPr>
            <w:r>
              <w:t>Извършване на диагностика за нуждите на екипа и учениците на дадено училище</w:t>
            </w:r>
          </w:p>
          <w:p w:rsidR="00410CDB" w:rsidRDefault="00997B22">
            <w:pPr>
              <w:numPr>
                <w:ilvl w:val="1"/>
                <w:numId w:val="3"/>
              </w:numPr>
              <w:spacing w:line="276" w:lineRule="auto"/>
            </w:pPr>
            <w:r>
              <w:t>Прилагане на едно- или двугодишна програма за цялостна подкрепа на училищата</w:t>
            </w:r>
            <w:r>
              <w:t xml:space="preserve"> чрез обучения, супервизия, наблюдение на уроци, подкрепа с развиване на различни умения, споделяне на добри практики и изработване на стратегии за справяне с предизвикателства.</w:t>
            </w:r>
          </w:p>
          <w:p w:rsidR="00410CDB" w:rsidRDefault="00997B22">
            <w:pPr>
              <w:numPr>
                <w:ilvl w:val="1"/>
                <w:numId w:val="3"/>
              </w:numPr>
              <w:spacing w:line="276" w:lineRule="auto"/>
            </w:pPr>
            <w:r>
              <w:t>Оценка на добавената стойност на обучителната програма</w:t>
            </w:r>
          </w:p>
          <w:p w:rsidR="00410CDB" w:rsidRDefault="00997B22">
            <w:pPr>
              <w:numPr>
                <w:ilvl w:val="0"/>
                <w:numId w:val="3"/>
              </w:numPr>
              <w:spacing w:line="276" w:lineRule="auto"/>
              <w:rPr>
                <w:b/>
              </w:rPr>
            </w:pPr>
            <w:r>
              <w:rPr>
                <w:b/>
              </w:rPr>
              <w:t>Създаване на структури за ефективно споделяне на добри практики и обмяна на опит за справяне с идентифицирани от самите учители проблеми.</w:t>
            </w:r>
          </w:p>
          <w:p w:rsidR="00410CDB" w:rsidRDefault="00997B22">
            <w:pPr>
              <w:numPr>
                <w:ilvl w:val="1"/>
                <w:numId w:val="3"/>
              </w:numPr>
              <w:spacing w:line="276" w:lineRule="auto"/>
            </w:pPr>
            <w:r>
              <w:t>Създаване на професионални учебни общности в училищата</w:t>
            </w:r>
          </w:p>
          <w:p w:rsidR="00410CDB" w:rsidRDefault="00997B22">
            <w:pPr>
              <w:widowControl w:val="0"/>
              <w:spacing w:line="276" w:lineRule="auto"/>
            </w:pPr>
            <w:r>
              <w:t>Професионалните учебни общности работят целенасочено за подкреп</w:t>
            </w:r>
            <w:r>
              <w:t>а и обучение на всички учители в екипа, като крайната им цел е да отговорят на нуждите на всеки ученик. Ролята на ПУО е да модерират дискусия върху визия за развитие на училището, да създават съгласувана с тази визия стратегия, да идентифицират ключови зна</w:t>
            </w:r>
            <w:r>
              <w:t xml:space="preserve">ния, умения и нагласи, които учителите трябва да притежават, за да отговарят на нуждите на учениците и да им помагат да реализират потенциала си. </w:t>
            </w:r>
          </w:p>
          <w:p w:rsidR="00410CDB" w:rsidRDefault="00410CDB">
            <w:pPr>
              <w:widowControl w:val="0"/>
              <w:spacing w:line="276" w:lineRule="auto"/>
            </w:pPr>
          </w:p>
          <w:p w:rsidR="00410CDB" w:rsidRDefault="00997B22">
            <w:pPr>
              <w:widowControl w:val="0"/>
              <w:spacing w:line="276" w:lineRule="auto"/>
            </w:pPr>
            <w:r>
              <w:t xml:space="preserve">Професионалната учебна общност  може да се състои от учители от различни предметни области, които регулярно </w:t>
            </w:r>
            <w:r>
              <w:t>наблюдават свои колеги, описват най-често срещаните области за подобрение и идентифицират колеги, при които същите теми са силни страни (например въвличане на всички ученици, работа с учениците със специални образователни потребности, създаване на ясни кри</w:t>
            </w:r>
            <w:r>
              <w:t xml:space="preserve">терии за </w:t>
            </w:r>
            <w:r>
              <w:lastRenderedPageBreak/>
              <w:t xml:space="preserve">оценка, планиране на уроци). Колегите, които са силни в дадена тема, обучават тези, които се затрудняват. </w:t>
            </w:r>
          </w:p>
          <w:p w:rsidR="00410CDB" w:rsidRDefault="00997B22">
            <w:pPr>
              <w:numPr>
                <w:ilvl w:val="1"/>
                <w:numId w:val="3"/>
              </w:numPr>
              <w:spacing w:line="276" w:lineRule="auto"/>
            </w:pPr>
            <w:r>
              <w:t>Организиране на форуми за споделяне на добри практики на ниво РУО</w:t>
            </w:r>
          </w:p>
          <w:p w:rsidR="00410CDB" w:rsidRDefault="00997B22">
            <w:pPr>
              <w:numPr>
                <w:ilvl w:val="1"/>
                <w:numId w:val="3"/>
              </w:numPr>
              <w:spacing w:line="276" w:lineRule="auto"/>
            </w:pPr>
            <w:r>
              <w:t>Създаване и/или подкрепа за развитие и популяризиране на съществуващите он</w:t>
            </w:r>
            <w:r>
              <w:t>лайн платформи за споделяне на добри практики</w:t>
            </w:r>
          </w:p>
          <w:p w:rsidR="00410CDB" w:rsidRDefault="00997B22">
            <w:pPr>
              <w:numPr>
                <w:ilvl w:val="0"/>
                <w:numId w:val="3"/>
              </w:numPr>
              <w:spacing w:line="276" w:lineRule="auto"/>
              <w:rPr>
                <w:b/>
              </w:rPr>
            </w:pPr>
            <w:r>
              <w:rPr>
                <w:b/>
              </w:rPr>
              <w:t>Привличане, подбор и обучение на хора без педагогически опит, но с висока мотивация да бъдат учители и да прилагат новаторски методи на преподаване с цел оказване на най-добра подкрепа на учениците в неравносто</w:t>
            </w:r>
            <w:r>
              <w:rPr>
                <w:b/>
              </w:rPr>
              <w:t>йно положение.</w:t>
            </w:r>
          </w:p>
          <w:p w:rsidR="00410CDB" w:rsidRDefault="00997B22">
            <w:pPr>
              <w:numPr>
                <w:ilvl w:val="1"/>
                <w:numId w:val="3"/>
              </w:numPr>
              <w:spacing w:line="276" w:lineRule="auto"/>
            </w:pPr>
            <w:r>
              <w:t>Създаване на структура / система за привличане и подбор на успешни висшисти - завършващи студенти и професионалисти с опит.</w:t>
            </w:r>
          </w:p>
          <w:p w:rsidR="00410CDB" w:rsidRDefault="00997B22">
            <w:pPr>
              <w:numPr>
                <w:ilvl w:val="1"/>
                <w:numId w:val="3"/>
              </w:numPr>
              <w:spacing w:line="276" w:lineRule="auto"/>
            </w:pPr>
            <w:r>
              <w:t xml:space="preserve">Разработване на обучителна програма за начинаещи учители, включваща интензивно обучение преди началото на първата им </w:t>
            </w:r>
            <w:r>
              <w:t>учебна година, обучение за придобиване на педагогическа квалификация паралелно с работата в училище, подкрепящи и надграждащи обучения по време на първите две години в училище, включително супервизия, както и подкрепа от опитен учител-ментор от училището.</w:t>
            </w:r>
          </w:p>
          <w:p w:rsidR="00410CDB" w:rsidRDefault="00997B22">
            <w:pPr>
              <w:numPr>
                <w:ilvl w:val="1"/>
                <w:numId w:val="3"/>
              </w:numPr>
              <w:spacing w:line="276" w:lineRule="auto"/>
            </w:pPr>
            <w:r>
              <w:t>Ежегоден подбор на участници в програмата</w:t>
            </w:r>
          </w:p>
          <w:p w:rsidR="00410CDB" w:rsidRDefault="00997B22">
            <w:pPr>
              <w:numPr>
                <w:ilvl w:val="1"/>
                <w:numId w:val="3"/>
              </w:numPr>
              <w:spacing w:line="276" w:lineRule="auto"/>
            </w:pPr>
            <w:r>
              <w:t>Реализиране на програмата за обучение и подкрепа на начинаещи учители, описана по-горе.</w:t>
            </w:r>
          </w:p>
          <w:p w:rsidR="00410CDB" w:rsidRDefault="00997B22">
            <w:pPr>
              <w:numPr>
                <w:ilvl w:val="0"/>
                <w:numId w:val="3"/>
              </w:numPr>
              <w:spacing w:line="276" w:lineRule="auto"/>
              <w:rPr>
                <w:b/>
              </w:rPr>
            </w:pPr>
            <w:r>
              <w:rPr>
                <w:b/>
              </w:rPr>
              <w:t>Създаване на структури за подкрепа на учители от страна на РУО, с фокус насърчаване на професионалното развитие, прилагането н</w:t>
            </w:r>
            <w:r>
              <w:rPr>
                <w:b/>
              </w:rPr>
              <w:t>а новаторски практики и адресирането на нуждите на всеки ученик от страна на учителите.</w:t>
            </w:r>
          </w:p>
          <w:p w:rsidR="00410CDB" w:rsidRDefault="00997B22">
            <w:pPr>
              <w:numPr>
                <w:ilvl w:val="1"/>
                <w:numId w:val="3"/>
              </w:numPr>
              <w:spacing w:line="276" w:lineRule="auto"/>
            </w:pPr>
            <w:r>
              <w:t>Структуриране на набор от интервенции за ефективна подкрепа на учители от страна на експертите на РУО с фокус прилагане на новаторски подходи от страна на учителите и п</w:t>
            </w:r>
            <w:r>
              <w:t>одкрепа на всеки ученик.</w:t>
            </w:r>
          </w:p>
          <w:p w:rsidR="00410CDB" w:rsidRDefault="00997B22">
            <w:pPr>
              <w:numPr>
                <w:ilvl w:val="1"/>
                <w:numId w:val="3"/>
              </w:numPr>
              <w:spacing w:line="276" w:lineRule="auto"/>
            </w:pPr>
            <w:r>
              <w:t>Разработване на обучения за прилагане на горните интервенции.</w:t>
            </w:r>
          </w:p>
          <w:p w:rsidR="00410CDB" w:rsidRDefault="00997B22">
            <w:pPr>
              <w:numPr>
                <w:ilvl w:val="1"/>
                <w:numId w:val="3"/>
              </w:numPr>
              <w:spacing w:line="276" w:lineRule="auto"/>
            </w:pPr>
            <w:r>
              <w:t>Обучения на експерти на РУО за прилагане на горните интервенции, когато е необходимо.</w:t>
            </w:r>
          </w:p>
          <w:p w:rsidR="00410CDB" w:rsidRDefault="00997B22">
            <w:pPr>
              <w:numPr>
                <w:ilvl w:val="1"/>
                <w:numId w:val="3"/>
              </w:numPr>
              <w:spacing w:line="276" w:lineRule="auto"/>
            </w:pPr>
            <w:r>
              <w:t>Оценка на добавената стойност на обученията и структурите за подкрепа.</w:t>
            </w:r>
          </w:p>
          <w:p w:rsidR="00410CDB" w:rsidRDefault="00410CDB">
            <w:pPr>
              <w:spacing w:after="120"/>
            </w:pPr>
          </w:p>
          <w:p w:rsidR="00410CDB" w:rsidRDefault="00997B22">
            <w:pPr>
              <w:spacing w:after="120"/>
              <w:rPr>
                <w:b/>
              </w:rPr>
            </w:pPr>
            <w:r>
              <w:rPr>
                <w:i/>
              </w:rPr>
              <w:lastRenderedPageBreak/>
              <w:t>Посочете яс</w:t>
            </w:r>
            <w:r>
              <w:rPr>
                <w:i/>
              </w:rPr>
              <w:t>ни и конкретни дейности и техния принос за преодоляване на идентифицираните нужди и постигане на посочените конкретни цели и очаквани резултати.</w:t>
            </w:r>
          </w:p>
        </w:tc>
      </w:tr>
      <w:tr w:rsidR="00410CDB">
        <w:trPr>
          <w:trHeight w:val="740"/>
        </w:trPr>
        <w:tc>
          <w:tcPr>
            <w:tcW w:w="2136" w:type="dxa"/>
            <w:shd w:val="clear" w:color="auto" w:fill="EDEDED"/>
          </w:tcPr>
          <w:p w:rsidR="00410CDB" w:rsidRDefault="00997B22">
            <w:pPr>
              <w:spacing w:after="120"/>
              <w:rPr>
                <w:b/>
              </w:rPr>
            </w:pPr>
            <w:r>
              <w:rPr>
                <w:b/>
              </w:rPr>
              <w:lastRenderedPageBreak/>
              <w:t>5. Целеви групи и бенефициенти</w:t>
            </w:r>
          </w:p>
        </w:tc>
        <w:tc>
          <w:tcPr>
            <w:tcW w:w="8070" w:type="dxa"/>
            <w:shd w:val="clear" w:color="auto" w:fill="auto"/>
          </w:tcPr>
          <w:p w:rsidR="00410CDB" w:rsidRDefault="00997B22">
            <w:pPr>
              <w:spacing w:after="120"/>
            </w:pPr>
            <w:r>
              <w:t>Целеви групи и бенефициенти:</w:t>
            </w:r>
          </w:p>
          <w:p w:rsidR="00410CDB" w:rsidRDefault="00997B22">
            <w:pPr>
              <w:numPr>
                <w:ilvl w:val="0"/>
                <w:numId w:val="2"/>
              </w:numPr>
            </w:pPr>
            <w:r>
              <w:t xml:space="preserve">Директни: </w:t>
            </w:r>
          </w:p>
          <w:p w:rsidR="00410CDB" w:rsidRDefault="00997B22">
            <w:pPr>
              <w:numPr>
                <w:ilvl w:val="1"/>
                <w:numId w:val="2"/>
              </w:numPr>
            </w:pPr>
            <w:r>
              <w:t>учители и директори в общински и държавни училища и ЦПЛР (центрове за подкрепа за личностно развитие): 1200 директора, 12000 учители;</w:t>
            </w:r>
          </w:p>
          <w:p w:rsidR="00410CDB" w:rsidRDefault="00997B22">
            <w:pPr>
              <w:numPr>
                <w:ilvl w:val="1"/>
                <w:numId w:val="2"/>
              </w:numPr>
            </w:pPr>
            <w:r>
              <w:t>новопостъпили в системата 400 специалисти, които придобиват квалификация посредством иновативна пътека за достъп до профес</w:t>
            </w:r>
            <w:r>
              <w:t>ията;</w:t>
            </w:r>
          </w:p>
          <w:p w:rsidR="00410CDB" w:rsidRDefault="00997B22">
            <w:pPr>
              <w:numPr>
                <w:ilvl w:val="1"/>
                <w:numId w:val="2"/>
              </w:numPr>
            </w:pPr>
            <w:r>
              <w:t>експерти от регионалните управления на образованието: 140 експерти</w:t>
            </w:r>
          </w:p>
          <w:p w:rsidR="00410CDB" w:rsidRDefault="00997B22">
            <w:pPr>
              <w:numPr>
                <w:ilvl w:val="0"/>
                <w:numId w:val="2"/>
              </w:numPr>
              <w:spacing w:after="120"/>
            </w:pPr>
            <w:r>
              <w:t>Индиректни: Учениците, с които работят учителите бенефициенти</w:t>
            </w:r>
          </w:p>
          <w:p w:rsidR="00410CDB" w:rsidRDefault="00997B22">
            <w:pPr>
              <w:spacing w:after="120"/>
              <w:rPr>
                <w:b/>
              </w:rPr>
            </w:pPr>
            <w:r>
              <w:rPr>
                <w:i/>
              </w:rPr>
              <w:t>Посочете основните целеви групи на конкретните дейности и бенефициенти, които да постигнат целите и резултатите.</w:t>
            </w:r>
          </w:p>
        </w:tc>
      </w:tr>
    </w:tbl>
    <w:p w:rsidR="00410CDB" w:rsidRDefault="00410CDB">
      <w:pPr>
        <w:spacing w:after="0" w:line="240" w:lineRule="auto"/>
      </w:pPr>
    </w:p>
    <w:p w:rsidR="00410CDB" w:rsidRDefault="00997B22">
      <w:pPr>
        <w:spacing w:after="0" w:line="240" w:lineRule="auto"/>
        <w:rPr>
          <w:b/>
        </w:rPr>
      </w:pPr>
      <w:r>
        <w:rPr>
          <w:b/>
        </w:rPr>
        <w:t>Източници на информация:</w:t>
      </w:r>
    </w:p>
    <w:p w:rsidR="00410CDB" w:rsidRDefault="00997B22">
      <w:pPr>
        <w:spacing w:after="0" w:line="240" w:lineRule="auto"/>
      </w:pPr>
      <w:r>
        <w:t>Цели за устойчиво развитие на ООН.</w:t>
      </w:r>
    </w:p>
    <w:p w:rsidR="00410CDB" w:rsidRDefault="00997B22">
      <w:pPr>
        <w:spacing w:after="0" w:line="240" w:lineRule="auto"/>
      </w:pPr>
      <w:hyperlink r:id="rId7">
        <w:r>
          <w:rPr>
            <w:u w:val="single"/>
          </w:rPr>
          <w:t>https://www.un.org/sustainabledevelopment/sustainable-development-goals/</w:t>
        </w:r>
      </w:hyperlink>
    </w:p>
    <w:p w:rsidR="00410CDB" w:rsidRDefault="00997B22">
      <w:pPr>
        <w:spacing w:after="0" w:line="240" w:lineRule="auto"/>
      </w:pPr>
      <w:r>
        <w:t>-  European Social scoreboard</w:t>
      </w:r>
    </w:p>
    <w:p w:rsidR="00410CDB" w:rsidRDefault="00997B22">
      <w:pPr>
        <w:spacing w:after="0" w:line="240" w:lineRule="auto"/>
      </w:pPr>
      <w:hyperlink r:id="rId8">
        <w:r>
          <w:rPr>
            <w:u w:val="single"/>
          </w:rPr>
          <w:t>https://ec.europa.eu/social/main.jsp?catId=115</w:t>
        </w:r>
      </w:hyperlink>
    </w:p>
    <w:p w:rsidR="00410CDB" w:rsidRDefault="00997B22">
      <w:pPr>
        <w:spacing w:after="0" w:line="240" w:lineRule="auto"/>
      </w:pPr>
      <w:r>
        <w:t>-  Education and Training</w:t>
      </w:r>
    </w:p>
    <w:p w:rsidR="00410CDB" w:rsidRDefault="00997B22">
      <w:pPr>
        <w:spacing w:after="0" w:line="240" w:lineRule="auto"/>
      </w:pPr>
      <w:r>
        <w:t xml:space="preserve">MONITOR 2018 </w:t>
      </w:r>
    </w:p>
    <w:p w:rsidR="00410CDB" w:rsidRDefault="00997B22">
      <w:pPr>
        <w:spacing w:after="0" w:line="240" w:lineRule="auto"/>
      </w:pPr>
      <w:hyperlink r:id="rId9">
        <w:r>
          <w:rPr>
            <w:u w:val="single"/>
          </w:rPr>
          <w:t>https://www.educacionyfp.gob.es/inee/dam/jcr:009d2726-d54e-4238-9cfd-5a5dd98bbaab/volume-1-2018-education-and-training-monitor-country-analysis.pdf</w:t>
        </w:r>
      </w:hyperlink>
    </w:p>
    <w:p w:rsidR="00410CDB" w:rsidRDefault="00997B22">
      <w:pPr>
        <w:spacing w:after="0" w:line="240" w:lineRule="auto"/>
      </w:pPr>
      <w:r>
        <w:t>- Рамка за европейско сътрудничество в област</w:t>
      </w:r>
      <w:r>
        <w:t xml:space="preserve">та на образованието и обучението </w:t>
      </w:r>
    </w:p>
    <w:p w:rsidR="00410CDB" w:rsidRDefault="00997B22">
      <w:pPr>
        <w:spacing w:after="0" w:line="240" w:lineRule="auto"/>
      </w:pPr>
      <w:r>
        <w:t xml:space="preserve">„Образование и обучение 2020“ </w:t>
      </w:r>
    </w:p>
    <w:p w:rsidR="00410CDB" w:rsidRDefault="00997B22">
      <w:pPr>
        <w:spacing w:after="0" w:line="240" w:lineRule="auto"/>
      </w:pPr>
      <w:hyperlink r:id="rId10">
        <w:r>
          <w:rPr>
            <w:u w:val="single"/>
          </w:rPr>
          <w:t>https://ec.europa.eu/education/policies/european-policy-cooperation/et2020-framework</w:t>
        </w:r>
        <w:r>
          <w:rPr>
            <w:u w:val="single"/>
          </w:rPr>
          <w:t>_bg</w:t>
        </w:r>
      </w:hyperlink>
    </w:p>
    <w:p w:rsidR="00410CDB" w:rsidRDefault="00997B22">
      <w:pPr>
        <w:spacing w:after="0" w:line="240" w:lineRule="auto"/>
      </w:pPr>
      <w:r>
        <w:t>- Проект на визия, цели и приоритети на Национална програма за развитие България 2030</w:t>
      </w:r>
    </w:p>
    <w:p w:rsidR="00410CDB" w:rsidRDefault="00997B22">
      <w:pPr>
        <w:spacing w:after="0" w:line="240" w:lineRule="auto"/>
      </w:pPr>
      <w:hyperlink r:id="rId11">
        <w:r>
          <w:rPr>
            <w:u w:val="single"/>
          </w:rPr>
          <w:t>https://www.strategy.bg/PublicConsultations/View.aspx?lang=bg-BG&amp;Id=4682</w:t>
        </w:r>
      </w:hyperlink>
    </w:p>
    <w:sectPr w:rsidR="00410CDB">
      <w:headerReference w:type="default" r:id="rId12"/>
      <w:footerReference w:type="default" r:id="rId13"/>
      <w:pgSz w:w="11906" w:h="16838"/>
      <w:pgMar w:top="1411" w:right="1411" w:bottom="1411" w:left="141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7B22" w:rsidRDefault="00997B22">
      <w:pPr>
        <w:spacing w:after="0" w:line="240" w:lineRule="auto"/>
      </w:pPr>
      <w:r>
        <w:separator/>
      </w:r>
    </w:p>
  </w:endnote>
  <w:endnote w:type="continuationSeparator" w:id="0">
    <w:p w:rsidR="00997B22" w:rsidRDefault="00997B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00"/>
    <w:family w:val="auto"/>
    <w:pitch w:val="default"/>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CDB" w:rsidRDefault="00997B22">
    <w:pPr>
      <w:pBdr>
        <w:top w:val="nil"/>
        <w:left w:val="nil"/>
        <w:bottom w:val="nil"/>
        <w:right w:val="nil"/>
        <w:between w:val="nil"/>
      </w:pBdr>
      <w:tabs>
        <w:tab w:val="center" w:pos="4536"/>
        <w:tab w:val="right" w:pos="9072"/>
      </w:tabs>
      <w:spacing w:after="0" w:line="240" w:lineRule="auto"/>
      <w:jc w:val="center"/>
      <w:rPr>
        <w:color w:val="000000"/>
      </w:rPr>
    </w:pPr>
    <w:r>
      <w:rPr>
        <w:color w:val="000000"/>
      </w:rPr>
      <w:fldChar w:fldCharType="begin"/>
    </w:r>
    <w:r>
      <w:rPr>
        <w:color w:val="000000"/>
      </w:rPr>
      <w:instrText>PAGE</w:instrText>
    </w:r>
    <w:r w:rsidR="004C5B5E">
      <w:rPr>
        <w:color w:val="000000"/>
      </w:rPr>
      <w:fldChar w:fldCharType="separate"/>
    </w:r>
    <w:r w:rsidR="004C5B5E">
      <w:rPr>
        <w:noProof/>
        <w:color w:val="000000"/>
      </w:rPr>
      <w:t>2</w:t>
    </w:r>
    <w:r>
      <w:rPr>
        <w:color w:val="000000"/>
      </w:rPr>
      <w:fldChar w:fldCharType="end"/>
    </w:r>
  </w:p>
  <w:p w:rsidR="00410CDB" w:rsidRDefault="00410CDB">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7B22" w:rsidRDefault="00997B22">
      <w:pPr>
        <w:spacing w:after="0" w:line="240" w:lineRule="auto"/>
      </w:pPr>
      <w:r>
        <w:separator/>
      </w:r>
    </w:p>
  </w:footnote>
  <w:footnote w:type="continuationSeparator" w:id="0">
    <w:p w:rsidR="00997B22" w:rsidRDefault="00997B2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CDB" w:rsidRDefault="00997B22">
    <w:pPr>
      <w:spacing w:after="0" w:line="276" w:lineRule="auto"/>
      <w:jc w:val="center"/>
      <w:rPr>
        <w:rFonts w:ascii="Candara" w:eastAsia="Candara" w:hAnsi="Candara" w:cs="Candara"/>
        <w:b/>
        <w:sz w:val="20"/>
        <w:szCs w:val="20"/>
      </w:rPr>
    </w:pPr>
    <w:r>
      <w:rPr>
        <w:noProof/>
        <w:lang w:val="en-US"/>
      </w:rPr>
      <w:drawing>
        <wp:anchor distT="0" distB="0" distL="114300" distR="114300" simplePos="0" relativeHeight="251658240" behindDoc="0" locked="0" layoutInCell="1" hidden="0" allowOverlap="1">
          <wp:simplePos x="0" y="0"/>
          <wp:positionH relativeFrom="column">
            <wp:posOffset>4727278</wp:posOffset>
          </wp:positionH>
          <wp:positionV relativeFrom="paragraph">
            <wp:posOffset>0</wp:posOffset>
          </wp:positionV>
          <wp:extent cx="1567815" cy="498475"/>
          <wp:effectExtent l="0" t="0" r="0" b="0"/>
          <wp:wrapSquare wrapText="bothSides" distT="0" distB="0" distL="114300" distR="114300"/>
          <wp:docPr id="4" name="image1.png" descr="http://sf.mon.bg/attachments/542e6aa473f9f.jpg"/>
          <wp:cNvGraphicFramePr/>
          <a:graphic xmlns:a="http://schemas.openxmlformats.org/drawingml/2006/main">
            <a:graphicData uri="http://schemas.openxmlformats.org/drawingml/2006/picture">
              <pic:pic xmlns:pic="http://schemas.openxmlformats.org/drawingml/2006/picture">
                <pic:nvPicPr>
                  <pic:cNvPr id="0" name="image1.png" descr="http://sf.mon.bg/attachments/542e6aa473f9f.jpg"/>
                  <pic:cNvPicPr preferRelativeResize="0"/>
                </pic:nvPicPr>
                <pic:blipFill>
                  <a:blip r:embed="rId1"/>
                  <a:srcRect/>
                  <a:stretch>
                    <a:fillRect/>
                  </a:stretch>
                </pic:blipFill>
                <pic:spPr>
                  <a:xfrm>
                    <a:off x="0" y="0"/>
                    <a:ext cx="1567815" cy="498475"/>
                  </a:xfrm>
                  <a:prstGeom prst="rect">
                    <a:avLst/>
                  </a:prstGeom>
                  <a:ln/>
                </pic:spPr>
              </pic:pic>
            </a:graphicData>
          </a:graphic>
        </wp:anchor>
      </w:drawing>
    </w:r>
  </w:p>
  <w:p w:rsidR="00410CDB" w:rsidRDefault="00997B22">
    <w:pPr>
      <w:spacing w:after="0" w:line="276" w:lineRule="auto"/>
      <w:jc w:val="center"/>
      <w:rPr>
        <w:rFonts w:ascii="Times New Roman" w:eastAsia="Times New Roman" w:hAnsi="Times New Roman" w:cs="Times New Roman"/>
        <w:b/>
      </w:rPr>
    </w:pPr>
    <w:r>
      <w:rPr>
        <w:rFonts w:ascii="Times New Roman" w:eastAsia="Times New Roman" w:hAnsi="Times New Roman" w:cs="Times New Roman"/>
        <w:b/>
      </w:rPr>
      <w:t>Тематична работна група за разработване на</w:t>
    </w:r>
    <w:r>
      <w:rPr>
        <w:noProof/>
        <w:lang w:val="en-US"/>
      </w:rPr>
      <w:drawing>
        <wp:anchor distT="0" distB="0" distL="114300" distR="114300" simplePos="0" relativeHeight="251659264" behindDoc="0" locked="0" layoutInCell="1" hidden="0" allowOverlap="1">
          <wp:simplePos x="0" y="0"/>
          <wp:positionH relativeFrom="column">
            <wp:posOffset>-416166</wp:posOffset>
          </wp:positionH>
          <wp:positionV relativeFrom="paragraph">
            <wp:posOffset>-428140</wp:posOffset>
          </wp:positionV>
          <wp:extent cx="1550670" cy="524510"/>
          <wp:effectExtent l="0" t="0" r="0" b="0"/>
          <wp:wrapSquare wrapText="bothSides" distT="0" distB="0" distL="114300" distR="114300"/>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1550670" cy="524510"/>
                  </a:xfrm>
                  <a:prstGeom prst="rect">
                    <a:avLst/>
                  </a:prstGeom>
                  <a:ln/>
                </pic:spPr>
              </pic:pic>
            </a:graphicData>
          </a:graphic>
        </wp:anchor>
      </w:drawing>
    </w:r>
  </w:p>
  <w:p w:rsidR="00410CDB" w:rsidRDefault="00997B22">
    <w:pPr>
      <w:spacing w:after="0" w:line="276" w:lineRule="auto"/>
      <w:jc w:val="center"/>
      <w:rPr>
        <w:rFonts w:ascii="Times New Roman" w:eastAsia="Times New Roman" w:hAnsi="Times New Roman" w:cs="Times New Roman"/>
        <w:b/>
      </w:rPr>
    </w:pPr>
    <w:r>
      <w:rPr>
        <w:rFonts w:ascii="Times New Roman" w:eastAsia="Times New Roman" w:hAnsi="Times New Roman" w:cs="Times New Roman"/>
        <w:b/>
      </w:rPr>
      <w:t>Оперативна програма „Наука и образование“ 2021-2027 г.</w:t>
    </w:r>
    <w:r>
      <w:rPr>
        <w:noProof/>
        <w:lang w:val="en-US"/>
      </w:rPr>
      <mc:AlternateContent>
        <mc:Choice Requires="wpg">
          <w:drawing>
            <wp:anchor distT="0" distB="0" distL="0" distR="0" simplePos="0" relativeHeight="251660288" behindDoc="0" locked="0" layoutInCell="1" hidden="0" allowOverlap="1">
              <wp:simplePos x="0" y="0"/>
              <wp:positionH relativeFrom="column">
                <wp:posOffset>0</wp:posOffset>
              </wp:positionH>
              <wp:positionV relativeFrom="paragraph">
                <wp:posOffset>203200</wp:posOffset>
              </wp:positionV>
              <wp:extent cx="6588000" cy="12700"/>
              <wp:effectExtent l="0" t="0" r="0" b="0"/>
              <wp:wrapSquare wrapText="bothSides" distT="0" distB="0" distL="0" distR="0"/>
              <wp:docPr id="1" name="Straight Arrow Connector 1"/>
              <wp:cNvGraphicFramePr/>
              <a:graphic xmlns:a="http://schemas.openxmlformats.org/drawingml/2006/main">
                <a:graphicData uri="http://schemas.microsoft.com/office/word/2010/wordprocessingShape">
                  <wps:wsp>
                    <wps:cNvCnPr/>
                    <wps:spPr>
                      <a:xfrm>
                        <a:off x="2052000" y="3780000"/>
                        <a:ext cx="6588000" cy="0"/>
                      </a:xfrm>
                      <a:prstGeom prst="straightConnector1">
                        <a:avLst/>
                      </a:prstGeom>
                      <a:noFill/>
                      <a:ln w="12700" cap="flat" cmpd="sng">
                        <a:solidFill>
                          <a:srgbClr val="A5A5A5"/>
                        </a:solidFill>
                        <a:prstDash val="solid"/>
                        <a:miter lim="800000"/>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0" distR="0" hidden="0" layoutInCell="1" locked="0" relativeHeight="0" simplePos="0">
              <wp:simplePos x="0" y="0"/>
              <wp:positionH relativeFrom="column">
                <wp:posOffset>0</wp:posOffset>
              </wp:positionH>
              <wp:positionV relativeFrom="paragraph">
                <wp:posOffset>203200</wp:posOffset>
              </wp:positionV>
              <wp:extent cx="6588000" cy="12700"/>
              <wp:effectExtent b="0" l="0" r="0" t="0"/>
              <wp:wrapSquare wrapText="bothSides" distB="0" distT="0" distL="0" distR="0"/>
              <wp:docPr id="1" name="image3.png"/>
              <a:graphic>
                <a:graphicData uri="http://schemas.openxmlformats.org/drawingml/2006/picture">
                  <pic:pic>
                    <pic:nvPicPr>
                      <pic:cNvPr id="0" name="image3.png"/>
                      <pic:cNvPicPr preferRelativeResize="0"/>
                    </pic:nvPicPr>
                    <pic:blipFill>
                      <a:blip r:embed="rId3"/>
                      <a:srcRect/>
                      <a:stretch>
                        <a:fillRect/>
                      </a:stretch>
                    </pic:blipFill>
                    <pic:spPr>
                      <a:xfrm>
                        <a:off x="0" y="0"/>
                        <a:ext cx="6588000" cy="12700"/>
                      </a:xfrm>
                      <a:prstGeom prst="rect"/>
                      <a:ln/>
                    </pic:spPr>
                  </pic:pic>
                </a:graphicData>
              </a:graphic>
            </wp:anchor>
          </w:drawing>
        </mc:Fallback>
      </mc:AlternateContent>
    </w:r>
    <w:r>
      <w:rPr>
        <w:noProof/>
        <w:lang w:val="en-US"/>
      </w:rPr>
      <w:drawing>
        <wp:anchor distT="0" distB="0" distL="114300" distR="114300" simplePos="0" relativeHeight="251661312" behindDoc="0" locked="0" layoutInCell="1" hidden="0" allowOverlap="1">
          <wp:simplePos x="0" y="0"/>
          <wp:positionH relativeFrom="column">
            <wp:posOffset>6548755</wp:posOffset>
          </wp:positionH>
          <wp:positionV relativeFrom="paragraph">
            <wp:posOffset>38100</wp:posOffset>
          </wp:positionV>
          <wp:extent cx="1567815" cy="498475"/>
          <wp:effectExtent l="0" t="0" r="0" b="0"/>
          <wp:wrapSquare wrapText="bothSides" distT="0" distB="0" distL="114300" distR="114300"/>
          <wp:docPr id="2" name="image1.png" descr="http://sf.mon.bg/attachments/542e6aa473f9f.jpg"/>
          <wp:cNvGraphicFramePr/>
          <a:graphic xmlns:a="http://schemas.openxmlformats.org/drawingml/2006/main">
            <a:graphicData uri="http://schemas.openxmlformats.org/drawingml/2006/picture">
              <pic:pic xmlns:pic="http://schemas.openxmlformats.org/drawingml/2006/picture">
                <pic:nvPicPr>
                  <pic:cNvPr id="0" name="image1.png" descr="http://sf.mon.bg/attachments/542e6aa473f9f.jpg"/>
                  <pic:cNvPicPr preferRelativeResize="0"/>
                </pic:nvPicPr>
                <pic:blipFill>
                  <a:blip r:embed="rId1"/>
                  <a:srcRect/>
                  <a:stretch>
                    <a:fillRect/>
                  </a:stretch>
                </pic:blipFill>
                <pic:spPr>
                  <a:xfrm>
                    <a:off x="0" y="0"/>
                    <a:ext cx="1567815" cy="498475"/>
                  </a:xfrm>
                  <a:prstGeom prst="rect">
                    <a:avLst/>
                  </a:prstGeom>
                  <a:ln/>
                </pic:spPr>
              </pic:pic>
            </a:graphicData>
          </a:graphic>
        </wp:anchor>
      </w:drawing>
    </w:r>
  </w:p>
  <w:p w:rsidR="00410CDB" w:rsidRDefault="00410CDB">
    <w:pPr>
      <w:pBdr>
        <w:top w:val="nil"/>
        <w:left w:val="nil"/>
        <w:bottom w:val="nil"/>
        <w:right w:val="nil"/>
        <w:between w:val="nil"/>
      </w:pBdr>
      <w:tabs>
        <w:tab w:val="center" w:pos="4536"/>
        <w:tab w:val="right" w:pos="9072"/>
      </w:tabs>
      <w:spacing w:after="0" w:line="240" w:lineRule="auto"/>
      <w:jc w:val="center"/>
      <w:rPr>
        <w:rFonts w:ascii="Times New Roman" w:eastAsia="Times New Roman" w:hAnsi="Times New Roman" w:cs="Times New Roman"/>
        <w:b/>
        <w:color w:val="000000"/>
      </w:rPr>
    </w:pPr>
  </w:p>
  <w:tbl>
    <w:tblPr>
      <w:tblStyle w:val="a0"/>
      <w:tblW w:w="10206" w:type="dxa"/>
      <w:tblInd w:w="-5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06"/>
    </w:tblGrid>
    <w:tr w:rsidR="00410CDB">
      <w:trPr>
        <w:trHeight w:val="380"/>
      </w:trPr>
      <w:tc>
        <w:tcPr>
          <w:tcW w:w="10206" w:type="dxa"/>
          <w:tcBorders>
            <w:top w:val="single" w:sz="12" w:space="0" w:color="000000"/>
            <w:left w:val="single" w:sz="12" w:space="0" w:color="000000"/>
            <w:bottom w:val="single" w:sz="12" w:space="0" w:color="000000"/>
            <w:right w:val="single" w:sz="12" w:space="0" w:color="000000"/>
          </w:tcBorders>
          <w:shd w:val="clear" w:color="auto" w:fill="DEEBF6"/>
        </w:tcPr>
        <w:p w:rsidR="00410CDB" w:rsidRDefault="00997B22">
          <w:pPr>
            <w:pBdr>
              <w:top w:val="nil"/>
              <w:left w:val="nil"/>
              <w:bottom w:val="nil"/>
              <w:right w:val="nil"/>
              <w:between w:val="nil"/>
            </w:pBdr>
            <w:tabs>
              <w:tab w:val="center" w:pos="4536"/>
              <w:tab w:val="right" w:pos="9072"/>
            </w:tabs>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ФИШ ЗА ПРЕДСТАВЯНЕ НА ПРЕДЛОЖЕНИЯ</w:t>
          </w:r>
        </w:p>
      </w:tc>
    </w:tr>
  </w:tbl>
  <w:p w:rsidR="00410CDB" w:rsidRDefault="00410CDB">
    <w:pPr>
      <w:pBdr>
        <w:top w:val="nil"/>
        <w:left w:val="nil"/>
        <w:bottom w:val="nil"/>
        <w:right w:val="nil"/>
        <w:between w:val="nil"/>
      </w:pBdr>
      <w:tabs>
        <w:tab w:val="center" w:pos="4536"/>
        <w:tab w:val="right" w:pos="9072"/>
      </w:tabs>
      <w:spacing w:after="0" w:line="240" w:lineRule="auto"/>
      <w:jc w:val="center"/>
      <w:rPr>
        <w:rFonts w:ascii="Times New Roman" w:eastAsia="Times New Roman" w:hAnsi="Times New Roman" w:cs="Times New Roman"/>
        <w:b/>
        <w:color w:val="000000"/>
      </w:rPr>
    </w:pPr>
  </w:p>
  <w:p w:rsidR="00410CDB" w:rsidRDefault="00997B22">
    <w:pPr>
      <w:tabs>
        <w:tab w:val="center" w:pos="4536"/>
        <w:tab w:val="right" w:pos="9072"/>
      </w:tabs>
      <w:spacing w:after="0" w:line="240" w:lineRule="auto"/>
      <w:ind w:left="-567" w:right="-567"/>
      <w:jc w:val="both"/>
      <w:rPr>
        <w:rFonts w:ascii="Times New Roman" w:eastAsia="Times New Roman" w:hAnsi="Times New Roman" w:cs="Times New Roman"/>
        <w:b/>
        <w:u w:val="single"/>
      </w:rPr>
    </w:pPr>
    <w:r>
      <w:rPr>
        <w:rFonts w:ascii="Times New Roman" w:eastAsia="Times New Roman" w:hAnsi="Times New Roman" w:cs="Times New Roman"/>
        <w:b/>
        <w:u w:val="single"/>
      </w:rPr>
      <w:t xml:space="preserve">Попълнен от: Нели Колева Колева, </w:t>
    </w:r>
    <w:hyperlink r:id="rId4">
      <w:r>
        <w:rPr>
          <w:rFonts w:ascii="Times New Roman" w:eastAsia="Times New Roman" w:hAnsi="Times New Roman" w:cs="Times New Roman"/>
          <w:b/>
          <w:color w:val="1155CC"/>
          <w:u w:val="single"/>
        </w:rPr>
        <w:t>n.koleva@zaednovchas.bg</w:t>
      </w:r>
    </w:hyperlink>
    <w:r>
      <w:rPr>
        <w:rFonts w:ascii="Times New Roman" w:eastAsia="Times New Roman" w:hAnsi="Times New Roman" w:cs="Times New Roman"/>
        <w:b/>
        <w:u w:val="single"/>
      </w:rPr>
      <w:t xml:space="preserve">  +359893322365</w:t>
    </w:r>
  </w:p>
  <w:p w:rsidR="00410CDB" w:rsidRDefault="00410CDB">
    <w:pPr>
      <w:pBdr>
        <w:top w:val="nil"/>
        <w:left w:val="nil"/>
        <w:bottom w:val="nil"/>
        <w:right w:val="nil"/>
        <w:between w:val="nil"/>
      </w:pBdr>
      <w:tabs>
        <w:tab w:val="center" w:pos="4536"/>
        <w:tab w:val="right" w:pos="9072"/>
      </w:tabs>
      <w:spacing w:after="0" w:line="240" w:lineRule="auto"/>
      <w:jc w:val="both"/>
      <w:rPr>
        <w:rFonts w:ascii="Times New Roman" w:eastAsia="Times New Roman" w:hAnsi="Times New Roman" w:cs="Times New Roman"/>
        <w:b/>
        <w:color w:val="000000"/>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16EF6"/>
    <w:multiLevelType w:val="multilevel"/>
    <w:tmpl w:val="3CF27C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1DD07996"/>
    <w:multiLevelType w:val="multilevel"/>
    <w:tmpl w:val="9A006F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1ED035F3"/>
    <w:multiLevelType w:val="multilevel"/>
    <w:tmpl w:val="D8C6A86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nsid w:val="2546233E"/>
    <w:multiLevelType w:val="multilevel"/>
    <w:tmpl w:val="83E8F0A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3F5B4AA8"/>
    <w:multiLevelType w:val="multilevel"/>
    <w:tmpl w:val="8B40A77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nsid w:val="7B4028D2"/>
    <w:multiLevelType w:val="multilevel"/>
    <w:tmpl w:val="8A02F0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2"/>
  </w:num>
  <w:num w:numId="2">
    <w:abstractNumId w:val="1"/>
  </w:num>
  <w:num w:numId="3">
    <w:abstractNumId w:val="4"/>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0CDB"/>
    <w:rsid w:val="00410CDB"/>
    <w:rsid w:val="004C5B5E"/>
    <w:rsid w:val="00997B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7A4AD2-63FF-4AA7-BE52-8AD1EB744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ec.europa.eu/social/main.jsp?catId=115"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un.org/sustainabledevelopment/sustainable-development-goals/"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trategy.bg/PublicConsultations/View.aspx?lang=bg-BG&amp;Id=4682"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ec.europa.eu/education/policies/european-policy-cooperation/et2020-framework_bg" TargetMode="External"/><Relationship Id="rId4" Type="http://schemas.openxmlformats.org/officeDocument/2006/relationships/webSettings" Target="webSettings.xml"/><Relationship Id="rId9" Type="http://schemas.openxmlformats.org/officeDocument/2006/relationships/hyperlink" Target="https://www.educacionyfp.gob.es/inee/dam/jcr:009d2726-d54e-4238-9cfd-5a5dd98bbaab/volume-1-2018-education-and-training-monitor-country-analysis.pdf"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hyperlink" Target="mailto:n.koleva@zaednovchas.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3009</Words>
  <Characters>17152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Yoana Bozhilova</dc:creator>
  <cp:lastModifiedBy>Yoana Bozhilova</cp:lastModifiedBy>
  <cp:revision>2</cp:revision>
  <dcterms:created xsi:type="dcterms:W3CDTF">2019-12-03T11:18:00Z</dcterms:created>
  <dcterms:modified xsi:type="dcterms:W3CDTF">2019-12-03T11:18:00Z</dcterms:modified>
</cp:coreProperties>
</file>